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致：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惠创未来城基础设施建设项目一期（北区）围蔽工程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惠创未来城基础设施建设项目一期（北区）围蔽工程</w:t>
            </w: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u w:val="none"/>
              </w:rPr>
              <w:t>163057.65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注：1.本项目结算时以实际工程量结合中标下浮率进行计算作为结算价，且结算价不超过</w:t>
      </w:r>
      <w:r>
        <w:rPr>
          <w:rFonts w:hint="eastAsia" w:ascii="宋体" w:hAnsi="宋体" w:eastAsia="宋体" w:cs="宋体"/>
          <w:sz w:val="22"/>
          <w:szCs w:val="21"/>
          <w:lang w:eastAsia="zh-CN"/>
        </w:rPr>
        <w:t>报</w:t>
      </w:r>
      <w:r>
        <w:rPr>
          <w:rFonts w:hint="eastAsia" w:ascii="宋体" w:hAnsi="宋体" w:eastAsia="宋体" w:cs="宋体"/>
          <w:sz w:val="22"/>
          <w:szCs w:val="21"/>
        </w:rPr>
        <w:t>价。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438974B8"/>
    <w:rsid w:val="438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2024-02-06T03:13:00Z</dcterms:created>
  <dc:creator>林漫婷</dc:creator>
  <cp:lastModifiedBy>林漫婷</cp:lastModifiedBy>
  <dcterms:modified xsi:type="dcterms:W3CDTF">2024-02-06T03:14:02Z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68CB5B094036499F89DCE875CF3D992B_11</vt:lpwstr>
  </property>
</Properties>
</file>