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项目报价函</w:t>
      </w:r>
    </w:p>
    <w:p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致：惠州市惠南产城发展有限公司</w:t>
      </w:r>
    </w:p>
    <w:p>
      <w:pPr>
        <w:adjustRightInd w:val="0"/>
        <w:snapToGrid w:val="0"/>
        <w:spacing w:line="400" w:lineRule="exact"/>
        <w:ind w:firstLine="630"/>
        <w:jc w:val="left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非常荣幸参与《惠创未来城闲置资产评估服务》项目的报价，我公司已充分了解项目情况，现报价如下：</w:t>
      </w:r>
    </w:p>
    <w:p>
      <w:pPr>
        <w:adjustRightInd w:val="0"/>
        <w:snapToGrid w:val="0"/>
        <w:spacing w:line="400" w:lineRule="exact"/>
        <w:ind w:firstLine="630"/>
        <w:jc w:val="left"/>
        <w:rPr>
          <w:rFonts w:ascii="宋体" w:hAnsi="宋体" w:eastAsia="宋体" w:cs="宋体"/>
          <w:sz w:val="24"/>
          <w:szCs w:val="28"/>
        </w:rPr>
      </w:pPr>
    </w:p>
    <w:tbl>
      <w:tblPr>
        <w:tblStyle w:val="2"/>
        <w:tblW w:w="49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384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47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0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92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本次报价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47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</w:t>
            </w:r>
          </w:p>
        </w:tc>
        <w:tc>
          <w:tcPr>
            <w:tcW w:w="260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惠创未来城闲置资产评估服务</w:t>
            </w:r>
          </w:p>
        </w:tc>
        <w:tc>
          <w:tcPr>
            <w:tcW w:w="192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下浮XX</w:t>
            </w:r>
          </w:p>
        </w:tc>
      </w:tr>
    </w:tbl>
    <w:p>
      <w:pPr>
        <w:numPr>
          <w:ilvl w:val="255"/>
          <w:numId w:val="0"/>
        </w:numPr>
        <w:adjustRightInd w:val="0"/>
        <w:snapToGrid w:val="0"/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</w:t>
      </w:r>
      <w:r>
        <w:rPr>
          <w:rFonts w:hint="eastAsia" w:ascii="宋体" w:hAnsi="宋体" w:eastAsia="宋体" w:cs="宋体"/>
          <w:bCs/>
          <w:sz w:val="24"/>
          <w:szCs w:val="24"/>
        </w:rPr>
        <w:t>采用下浮率形式报价，报价下浮率须大于20%（不含20%），未按规定范围报价的，为无效报价。</w:t>
      </w:r>
    </w:p>
    <w:p>
      <w:pPr>
        <w:numPr>
          <w:ilvl w:val="255"/>
          <w:numId w:val="0"/>
        </w:numPr>
        <w:adjustRightInd w:val="0"/>
        <w:snapToGrid w:val="0"/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2.评估单位根据建设单位实际需求分批次出具《资产评估报告》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，总次数不超过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6次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numPr>
          <w:ilvl w:val="255"/>
          <w:numId w:val="0"/>
        </w:numPr>
        <w:adjustRightInd w:val="0"/>
        <w:snapToGrid w:val="0"/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评估单位完成项目闲置资产评估工作且出具相应的《资产评估报告》后，评估服务费用以累计评估金额为计费额度，结合《广东省物价局关于资产评估收费有关问题的通知》（粤价〔2010〕142号）及中选下浮率进行计算。</w:t>
      </w:r>
    </w:p>
    <w:p>
      <w:pPr>
        <w:adjustRightInd w:val="0"/>
        <w:snapToGrid w:val="0"/>
        <w:spacing w:line="400" w:lineRule="exact"/>
        <w:ind w:right="1281" w:firstLine="440" w:firstLineChars="200"/>
        <w:rPr>
          <w:rFonts w:ascii="宋体" w:hAnsi="宋体" w:eastAsia="宋体" w:cs="宋体"/>
          <w:sz w:val="22"/>
        </w:rPr>
      </w:pPr>
    </w:p>
    <w:p>
      <w:pPr>
        <w:adjustRightInd w:val="0"/>
        <w:snapToGrid w:val="0"/>
        <w:spacing w:line="400" w:lineRule="exact"/>
        <w:ind w:right="1281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</w:p>
    <w:p>
      <w:pPr>
        <w:adjustRightInd w:val="0"/>
        <w:snapToGrid w:val="0"/>
        <w:spacing w:line="400" w:lineRule="exact"/>
        <w:ind w:right="1281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</w:p>
    <w:p>
      <w:pPr>
        <w:adjustRightInd w:val="0"/>
        <w:snapToGrid w:val="0"/>
        <w:spacing w:line="400" w:lineRule="exact"/>
        <w:ind w:right="1281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</w:p>
    <w:p>
      <w:pPr>
        <w:adjustRightInd w:val="0"/>
        <w:snapToGrid w:val="0"/>
        <w:spacing w:line="400" w:lineRule="exact"/>
        <w:ind w:right="1281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邮箱：</w:t>
      </w:r>
    </w:p>
    <w:p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0"/>
          <w:szCs w:val="20"/>
        </w:rPr>
      </w:pPr>
    </w:p>
    <w:p>
      <w:pPr>
        <w:adjustRightInd w:val="0"/>
        <w:snapToGrid w:val="0"/>
        <w:spacing w:line="400" w:lineRule="exact"/>
        <w:ind w:right="1281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报价人（盖章）：</w:t>
      </w:r>
    </w:p>
    <w:p>
      <w:pPr>
        <w:adjustRightInd w:val="0"/>
        <w:snapToGrid w:val="0"/>
        <w:spacing w:line="4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日期：   年  月  日</w:t>
      </w:r>
    </w:p>
    <w:p>
      <w:pPr>
        <w:spacing w:line="400" w:lineRule="exact"/>
        <w:rPr>
          <w:rFonts w:ascii="宋体" w:hAnsi="宋体" w:eastAsia="宋体" w:cs="宋体"/>
          <w:sz w:val="20"/>
          <w:szCs w:val="2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ODU2NGFkMWUyYmU2YzQ5ZDViODczYjQyMDRlY2MifQ=="/>
  </w:docVars>
  <w:rsids>
    <w:rsidRoot w:val="099C7806"/>
    <w:rsid w:val="099C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仲恺高新技术开发区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2024-04-19T07:10:00Z</dcterms:created>
  <dc:creator>林漫婷</dc:creator>
  <cp:lastModifiedBy>林漫婷</cp:lastModifiedBy>
  <dcterms:modified xsi:type="dcterms:W3CDTF">2024-04-19T07:10:44Z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0933EB355D8C469EB22F59BFB62B292E_11</vt:lpwstr>
  </property>
</Properties>
</file>